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9" w:rsidRPr="00055139" w:rsidRDefault="00055139" w:rsidP="00055139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bookmarkStart w:id="0" w:name="_Toc436055415"/>
      <w:bookmarkStart w:id="1" w:name="_Toc438495974"/>
      <w:r w:rsidRPr="00055139">
        <w:rPr>
          <w:rFonts w:ascii="Times New Roman" w:eastAsia="Calibri" w:hAnsi="Times New Roman" w:cs="Times New Roman"/>
          <w:b/>
          <w:iCs/>
        </w:rPr>
        <w:t xml:space="preserve">Tabela </w:t>
      </w:r>
      <w:r w:rsidRPr="00055139">
        <w:rPr>
          <w:rFonts w:ascii="Times New Roman" w:eastAsia="Calibri" w:hAnsi="Times New Roman" w:cs="Times New Roman"/>
          <w:b/>
          <w:i/>
          <w:iCs/>
        </w:rPr>
        <w:fldChar w:fldCharType="begin"/>
      </w:r>
      <w:r w:rsidRPr="00055139">
        <w:rPr>
          <w:rFonts w:ascii="Times New Roman" w:eastAsia="Calibri" w:hAnsi="Times New Roman" w:cs="Times New Roman"/>
          <w:b/>
          <w:iCs/>
        </w:rPr>
        <w:instrText xml:space="preserve"> SEQ Tabela \* ARABIC </w:instrText>
      </w:r>
      <w:r w:rsidRPr="00055139">
        <w:rPr>
          <w:rFonts w:ascii="Times New Roman" w:eastAsia="Calibri" w:hAnsi="Times New Roman" w:cs="Times New Roman"/>
          <w:b/>
          <w:i/>
          <w:iCs/>
        </w:rPr>
        <w:fldChar w:fldCharType="separate"/>
      </w:r>
      <w:r w:rsidRPr="00055139">
        <w:rPr>
          <w:rFonts w:ascii="Times New Roman" w:eastAsia="Calibri" w:hAnsi="Times New Roman" w:cs="Times New Roman"/>
          <w:b/>
          <w:iCs/>
          <w:noProof/>
        </w:rPr>
        <w:t>14</w:t>
      </w:r>
      <w:r w:rsidRPr="00055139">
        <w:rPr>
          <w:rFonts w:ascii="Times New Roman" w:eastAsia="Calibri" w:hAnsi="Times New Roman" w:cs="Times New Roman"/>
          <w:b/>
          <w:i/>
          <w:iCs/>
          <w:noProof/>
        </w:rPr>
        <w:fldChar w:fldCharType="end"/>
      </w:r>
      <w:r w:rsidRPr="00055139">
        <w:rPr>
          <w:rFonts w:ascii="Times New Roman" w:eastAsia="Calibri" w:hAnsi="Times New Roman" w:cs="Times New Roman"/>
          <w:b/>
          <w:iCs/>
        </w:rPr>
        <w:t xml:space="preserve"> Tabela przedsięwzięć oraz typów operacji</w:t>
      </w:r>
      <w:bookmarkEnd w:id="0"/>
      <w:bookmarkEnd w:id="1"/>
    </w:p>
    <w:tbl>
      <w:tblPr>
        <w:tblStyle w:val="Tabela-Siatka1"/>
        <w:tblpPr w:leftFromText="141" w:rightFromText="141" w:vertAnchor="text" w:tblpX="-322" w:tblpY="1"/>
        <w:tblOverlap w:val="never"/>
        <w:tblW w:w="15168" w:type="dxa"/>
        <w:tblLayout w:type="fixed"/>
        <w:tblLook w:val="04A0"/>
      </w:tblPr>
      <w:tblGrid>
        <w:gridCol w:w="854"/>
        <w:gridCol w:w="2548"/>
        <w:gridCol w:w="4253"/>
        <w:gridCol w:w="2405"/>
        <w:gridCol w:w="1847"/>
        <w:gridCol w:w="1418"/>
        <w:gridCol w:w="1843"/>
      </w:tblGrid>
      <w:tr w:rsidR="00055139" w:rsidRPr="00055139" w:rsidTr="00C700BA">
        <w:trPr>
          <w:trHeight w:val="456"/>
        </w:trPr>
        <w:tc>
          <w:tcPr>
            <w:tcW w:w="3402" w:type="dxa"/>
            <w:gridSpan w:val="2"/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Przedsięwzięcie</w:t>
            </w:r>
          </w:p>
        </w:tc>
        <w:tc>
          <w:tcPr>
            <w:tcW w:w="8505" w:type="dxa"/>
            <w:gridSpan w:val="3"/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Zakres tematyczny</w:t>
            </w:r>
            <w:r w:rsidRPr="00055139">
              <w:rPr>
                <w:rFonts w:ascii="Times New Roman" w:eastAsia="Calibri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1418" w:type="dxa"/>
            <w:vMerge w:val="restart"/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Sposób realizacji</w:t>
            </w:r>
          </w:p>
        </w:tc>
        <w:tc>
          <w:tcPr>
            <w:tcW w:w="1843" w:type="dxa"/>
            <w:vMerge w:val="restart"/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Środki na realizację przedsięwzięcia (zł)</w:t>
            </w:r>
          </w:p>
        </w:tc>
      </w:tr>
      <w:tr w:rsidR="00055139" w:rsidRPr="00055139" w:rsidTr="00C700BA">
        <w:trPr>
          <w:trHeight w:val="694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Nazwa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 xml:space="preserve">Opis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Beneficjent/</w:t>
            </w:r>
          </w:p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grantobiorca</w:t>
            </w:r>
            <w:r w:rsidRPr="00055139">
              <w:rPr>
                <w:rFonts w:ascii="Times New Roman" w:eastAsia="Calibri" w:hAnsi="Times New Roman"/>
                <w:b/>
              </w:rPr>
              <w:br/>
              <w:t>– zgodnie</w:t>
            </w:r>
            <w:r w:rsidRPr="00055139">
              <w:rPr>
                <w:rFonts w:ascii="Times New Roman" w:eastAsia="Calibri" w:hAnsi="Times New Roman"/>
                <w:b/>
              </w:rPr>
              <w:br/>
              <w:t>z rozporządzeniem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55139">
              <w:rPr>
                <w:rFonts w:ascii="Times New Roman" w:eastAsia="Calibri" w:hAnsi="Times New Roman"/>
                <w:b/>
              </w:rPr>
              <w:t>Wartość min.</w:t>
            </w:r>
            <w:r w:rsidRPr="00055139">
              <w:rPr>
                <w:rFonts w:ascii="Times New Roman" w:eastAsia="Calibri" w:hAnsi="Times New Roman"/>
                <w:b/>
              </w:rPr>
              <w:br/>
              <w:t>i maks. dofinansowania oraz poziom%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1.1.1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>Niekomercyjna</w:t>
            </w:r>
            <w:r w:rsidRPr="00055139">
              <w:rPr>
                <w:rFonts w:ascii="Times New Roman" w:eastAsia="Times New Roman" w:hAnsi="Times New Roman"/>
                <w:color w:val="000000"/>
              </w:rPr>
              <w:br/>
              <w:t>i ogólnodostępna infrastruktura rekreacyjna i/lub kulturowa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Budowa, przebudowa ogólnodostępnej</w:t>
            </w:r>
            <w:r w:rsidRPr="00055139">
              <w:rPr>
                <w:rFonts w:ascii="Times New Roman" w:eastAsia="Calibri" w:hAnsi="Times New Roman"/>
                <w:color w:val="000000"/>
              </w:rPr>
              <w:br/>
              <w:t>i niekomercyjnej infrastruktury rekreacyjnej i/lub kulturowej przystosowanej do obsługi co najmniej 1 000 osób rocznie;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Zakup rzeczy i środków trwałych stanowi nie więcej niż 10% kosztów.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Osoby fizyczne</w:t>
            </w:r>
            <w:r w:rsidRPr="00055139">
              <w:rPr>
                <w:rFonts w:ascii="Times New Roman" w:eastAsia="Calibri" w:hAnsi="Times New Roman"/>
              </w:rPr>
              <w:br/>
              <w:t>i osoby prawne</w:t>
            </w:r>
            <w:r w:rsidRPr="00055139">
              <w:rPr>
                <w:rFonts w:ascii="Times New Roman" w:eastAsia="Calibri" w:hAnsi="Times New Roman"/>
              </w:rPr>
              <w:br/>
              <w:t>z wykluczeniem prowadzących działalność oraz JSFP</w:t>
            </w:r>
            <w:r w:rsidRPr="00055139">
              <w:rPr>
                <w:rFonts w:ascii="Times New Roman" w:eastAsia="Calibri" w:hAnsi="Times New Roman"/>
                <w:vertAlign w:val="superscript"/>
              </w:rPr>
              <w:footnoteReference w:id="3"/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od 75 000</w:t>
            </w:r>
            <w:r w:rsidRPr="00055139">
              <w:rPr>
                <w:rFonts w:ascii="Times New Roman" w:eastAsia="Calibri" w:hAnsi="Times New Roman"/>
              </w:rPr>
              <w:br/>
              <w:t xml:space="preserve"> do 300 000;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100%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1 885 000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1.1.2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>Niekomercyjna</w:t>
            </w:r>
            <w:r w:rsidRPr="00055139">
              <w:rPr>
                <w:rFonts w:ascii="Times New Roman" w:eastAsia="Times New Roman" w:hAnsi="Times New Roman"/>
                <w:color w:val="000000"/>
              </w:rPr>
              <w:br/>
              <w:t>i ogólnodostępna infrastruktura rekreacyjna i/lub kulturowa wykorzystująca zasoby obszaru LGD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Budowa, przebudowa ogólnodostępnej</w:t>
            </w:r>
            <w:r w:rsidRPr="00055139">
              <w:rPr>
                <w:rFonts w:ascii="Times New Roman" w:eastAsia="Calibri" w:hAnsi="Times New Roman"/>
                <w:color w:val="000000"/>
              </w:rPr>
              <w:br/>
              <w:t>i niekomercyjnej infrastruktury rekreacyjnej i/lub kulturowej przystosowanej do obsługi co najmniej 1 000 osób rocznie;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Zakup rzeczy i środków trwałych stanowi nie więcej niż 50% kosztów.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LGD/osoby fizyczne</w:t>
            </w:r>
            <w:r w:rsidRPr="00055139">
              <w:rPr>
                <w:rFonts w:ascii="Times New Roman" w:eastAsia="Calibri" w:hAnsi="Times New Roman"/>
              </w:rPr>
              <w:br/>
              <w:t>i osoby prawne</w:t>
            </w:r>
            <w:r w:rsidRPr="00055139">
              <w:rPr>
                <w:rFonts w:ascii="Times New Roman" w:eastAsia="Calibri" w:hAnsi="Times New Roman"/>
              </w:rPr>
              <w:br/>
              <w:t>z wykluczeniem prowadzących działalność gospodarczą oraz JSFP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od 10 000</w:t>
            </w:r>
            <w:r w:rsidRPr="00055139">
              <w:rPr>
                <w:rFonts w:ascii="Times New Roman" w:eastAsia="Calibri" w:hAnsi="Times New Roman"/>
              </w:rPr>
              <w:br/>
              <w:t>do 50 000;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100%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Projekt grantowy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155 000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1.1.3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>Zachowanie zasobów lokalnego dziedzictwa kulturowego obszaru LGD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Konferencja, szkolenie, warsztat, spotkanie, festyn, akcja społeczna itp.;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Zakup rzeczy i środków trwałych stanowi nie więcej niż 80% kosztów;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Wzmacnianie kapitału społecznego;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Zachowanie dziedzictwa lokalnego.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LGD/osoby fizyczne</w:t>
            </w:r>
            <w:r w:rsidRPr="00055139">
              <w:rPr>
                <w:rFonts w:ascii="Times New Roman" w:eastAsia="Calibri" w:hAnsi="Times New Roman"/>
              </w:rPr>
              <w:br/>
              <w:t>i osoby prawne</w:t>
            </w:r>
            <w:r w:rsidRPr="00055139">
              <w:rPr>
                <w:rFonts w:ascii="Times New Roman" w:eastAsia="Calibri" w:hAnsi="Times New Roman"/>
              </w:rPr>
              <w:br/>
              <w:t>z wykluczeniem prowadzących działalność gospodarczą oraz JSFP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od 5 000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50 000;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100%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Projekt grantowy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210 000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1.1.4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</w:rPr>
            </w:pPr>
            <w:r w:rsidRPr="00055139">
              <w:rPr>
                <w:rFonts w:ascii="Times New Roman" w:eastAsia="Times New Roman" w:hAnsi="Times New Roman"/>
              </w:rPr>
              <w:t>Marsz po zdrowie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 xml:space="preserve">Konferencja, szkolenie, warsztat, </w:t>
            </w:r>
            <w:r w:rsidRPr="00055139">
              <w:rPr>
                <w:rFonts w:ascii="Times New Roman" w:eastAsia="Calibri" w:hAnsi="Times New Roman"/>
              </w:rPr>
              <w:lastRenderedPageBreak/>
              <w:t>spotkanie, festyn, akcja społeczna itp.;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Zakup rzeczy i środków trwałych;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Promowanie obszaru, produktów, usług lokalnych;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tabs>
                <w:tab w:val="left" w:pos="459"/>
              </w:tabs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Wzmocnienie kapitału społecznego.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>LGD, osoby 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85 000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 xml:space="preserve">Projekt </w:t>
            </w:r>
            <w:r w:rsidRPr="00055139">
              <w:rPr>
                <w:rFonts w:ascii="Times New Roman" w:eastAsia="Calibri" w:hAnsi="Times New Roman"/>
              </w:rPr>
              <w:lastRenderedPageBreak/>
              <w:t>współpracy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>85 000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>1.2.1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>Rozwój działalności gospodarczej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Rozwój przedsiębiorczości poprzez rozwijanie działalności gospodarczej;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Rozwój przedsiębiorczości poprzez rozwijanie działalności gospodarczej</w:t>
            </w:r>
            <w:r w:rsidRPr="00055139">
              <w:rPr>
                <w:rFonts w:ascii="Times New Roman" w:eastAsia="Calibri" w:hAnsi="Times New Roman"/>
                <w:color w:val="000000"/>
              </w:rPr>
              <w:br/>
              <w:t>i podnoszenie kompetencji osób realizujących operacje;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Działalność związana z budownictwem (sekcja „F”), turystyką (sekcja „I”), bądź działalność produkcyjna.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Osoby fizyczne</w:t>
            </w:r>
            <w:r w:rsidRPr="00055139">
              <w:rPr>
                <w:rFonts w:ascii="Times New Roman" w:eastAsia="Calibri" w:hAnsi="Times New Roman"/>
              </w:rPr>
              <w:br/>
              <w:t>i osoby prawne prowadzące działalność gospodarczą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od 50 000</w:t>
            </w:r>
            <w:r w:rsidRPr="00055139">
              <w:rPr>
                <w:rFonts w:ascii="Times New Roman" w:eastAsia="Calibri" w:hAnsi="Times New Roman"/>
              </w:rPr>
              <w:br/>
              <w:t>do 300 000;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 xml:space="preserve">do 60% 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1 150 000</w:t>
            </w:r>
          </w:p>
        </w:tc>
      </w:tr>
      <w:tr w:rsidR="00055139" w:rsidRPr="00055139" w:rsidTr="00C700BA">
        <w:trPr>
          <w:trHeight w:val="673"/>
        </w:trPr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1.2.2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 xml:space="preserve">Rozwój innej działalności gospodarczej 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Rozwój przedsiębiorczości poprzez rozwijanie działalności gospodarczej;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Rozwój przedsiębiorczości poprzez rozwijanie działalności gospodarczej</w:t>
            </w:r>
            <w:r w:rsidRPr="00055139">
              <w:rPr>
                <w:rFonts w:ascii="Times New Roman" w:eastAsia="Calibri" w:hAnsi="Times New Roman"/>
                <w:color w:val="000000"/>
              </w:rPr>
              <w:br/>
              <w:t>i podnoszenie kompetencji osób realizujących operacje;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Zatrudnienie – minimum 2 osoby;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  <w:color w:val="000000"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Działalność inna niż wskazana w ramach przedsięwzięcia 1.2.1.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Osoby fizyczne</w:t>
            </w:r>
            <w:r w:rsidRPr="00055139">
              <w:rPr>
                <w:rFonts w:ascii="Times New Roman" w:eastAsia="Calibri" w:hAnsi="Times New Roman"/>
              </w:rPr>
              <w:br/>
              <w:t>i osoby prawne prowadzące działalność gospodarczą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od 150 000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300 000;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60%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700 000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1.2.3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>Rozwój działalności gospodarczej prowadzonej przez kobiety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Rozwój przedsiębiorczości poprzez rozwijanie działalności gospodarczej;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Rozwój przedsiębiorczości poprzez rozwijanie działalności gospodarczej</w:t>
            </w:r>
            <w:r w:rsidRPr="00055139">
              <w:rPr>
                <w:rFonts w:ascii="Times New Roman" w:eastAsia="Calibri" w:hAnsi="Times New Roman"/>
                <w:color w:val="000000"/>
              </w:rPr>
              <w:br/>
              <w:t>i podnoszenie kompetencji osób realizujących operacje;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Działalność związana z budownictwem (sekcja „F”), turystyką (sekcja „I”), bądź działalność produkcyjna;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Grupa defaworyzowana – kobiety.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Osoby fizyczne</w:t>
            </w:r>
            <w:r w:rsidRPr="00055139">
              <w:rPr>
                <w:rFonts w:ascii="Times New Roman" w:eastAsia="Calibri" w:hAnsi="Times New Roman"/>
              </w:rPr>
              <w:br/>
              <w:t>i osoby prawne prowadzące działalność gospodarczą – grupa defaworyzowana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 xml:space="preserve">od 50 000 </w:t>
            </w:r>
            <w:r w:rsidRPr="00055139">
              <w:rPr>
                <w:rFonts w:ascii="Times New Roman" w:eastAsia="Calibri" w:hAnsi="Times New Roman"/>
              </w:rPr>
              <w:br/>
              <w:t>do 300 000;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60%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Konkurs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600 000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1.2.4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055139">
              <w:rPr>
                <w:rFonts w:ascii="Times New Roman" w:eastAsia="Times New Roman" w:hAnsi="Times New Roman"/>
                <w:color w:val="000000"/>
              </w:rPr>
              <w:t xml:space="preserve">Pobudzenie przedsiębiorczości </w:t>
            </w:r>
            <w:r w:rsidRPr="00055139">
              <w:rPr>
                <w:rFonts w:ascii="Times New Roman" w:eastAsia="Times New Roman" w:hAnsi="Times New Roman"/>
                <w:color w:val="000000"/>
              </w:rPr>
              <w:lastRenderedPageBreak/>
              <w:t>mieszkańców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  <w:color w:val="000000"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lastRenderedPageBreak/>
              <w:t>Konferencja, szkolenie, warsztat, spotkanie, festyn, akcja społeczna itp.;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  <w:color w:val="000000"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lastRenderedPageBreak/>
              <w:t>Wyjazd studyjny;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Promowanie obszaru, produktów, usług lokalnych;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  <w:color w:val="000000"/>
              </w:rPr>
              <w:t>Wzmocnienie kapitału społecznego.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>LGD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60 000;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Aktywizacja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60 000</w:t>
            </w:r>
          </w:p>
        </w:tc>
      </w:tr>
      <w:tr w:rsidR="00055139" w:rsidRPr="00055139" w:rsidTr="00C700BA"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lastRenderedPageBreak/>
              <w:t>1.2.5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</w:rPr>
            </w:pPr>
            <w:r w:rsidRPr="00055139">
              <w:rPr>
                <w:rFonts w:ascii="Times New Roman" w:eastAsia="Times New Roman" w:hAnsi="Times New Roman"/>
              </w:rPr>
              <w:t xml:space="preserve">Kreator przedsiębiorczości </w:t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Konferencja, szkolenie, warsztat, spotkanie, festyn, akcja społeczna itp.;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Zakup rzeczy i środków trwałych stanowi nie więcej niż 50% kosztów;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Promowanie obszaru, produktów, usług lokalnych;</w:t>
            </w:r>
          </w:p>
          <w:p w:rsidR="00055139" w:rsidRPr="00055139" w:rsidRDefault="00055139" w:rsidP="00055139">
            <w:pPr>
              <w:numPr>
                <w:ilvl w:val="0"/>
                <w:numId w:val="2"/>
              </w:numPr>
              <w:ind w:left="171" w:hanging="171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Zachowanie dziedzictwa lokalnego.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LGD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10 000;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Projekt współpracy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10 000</w:t>
            </w:r>
          </w:p>
        </w:tc>
      </w:tr>
      <w:tr w:rsidR="00055139" w:rsidRPr="00055139" w:rsidTr="00C700BA">
        <w:trPr>
          <w:trHeight w:val="1928"/>
        </w:trPr>
        <w:tc>
          <w:tcPr>
            <w:tcW w:w="854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1.2.6</w:t>
            </w:r>
          </w:p>
        </w:tc>
        <w:tc>
          <w:tcPr>
            <w:tcW w:w="2548" w:type="dxa"/>
            <w:vAlign w:val="center"/>
          </w:tcPr>
          <w:p w:rsidR="00055139" w:rsidRPr="00055139" w:rsidRDefault="00055139" w:rsidP="00C700BA">
            <w:pPr>
              <w:rPr>
                <w:rFonts w:ascii="Times New Roman" w:eastAsia="Times New Roman" w:hAnsi="Times New Roman"/>
                <w:i/>
              </w:rPr>
            </w:pPr>
            <w:r w:rsidRPr="00055139">
              <w:rPr>
                <w:rFonts w:ascii="Times New Roman" w:eastAsia="Times New Roman" w:hAnsi="Times New Roman"/>
              </w:rPr>
              <w:t xml:space="preserve">Integracja branż mających kluczowe znaczenie dla rozwoju gospodarczego: budownictwo, </w:t>
            </w:r>
            <w:r w:rsidRPr="00055139">
              <w:rPr>
                <w:rFonts w:ascii="Times New Roman" w:eastAsia="Times New Roman" w:hAnsi="Times New Roman"/>
                <w:color w:val="000000"/>
              </w:rPr>
              <w:t>zakwaterowanie</w:t>
            </w:r>
            <w:r w:rsidRPr="00055139">
              <w:rPr>
                <w:rFonts w:ascii="Times New Roman" w:eastAsia="Times New Roman" w:hAnsi="Times New Roman"/>
                <w:color w:val="000000"/>
              </w:rPr>
              <w:br/>
              <w:t>i usługi gastronomiczne, kultura, rekreacja</w:t>
            </w:r>
            <w:r w:rsidRPr="00055139">
              <w:rPr>
                <w:rFonts w:ascii="Times New Roman" w:eastAsia="Times New Roman" w:hAnsi="Times New Roman"/>
                <w:color w:val="000000"/>
              </w:rPr>
              <w:br/>
              <w:t>i rozrywka</w:t>
            </w:r>
            <w:r w:rsidRPr="00055139">
              <w:rPr>
                <w:rFonts w:ascii="Times New Roman" w:eastAsia="Times New Roman" w:hAnsi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4253" w:type="dxa"/>
            <w:vAlign w:val="center"/>
          </w:tcPr>
          <w:p w:rsidR="00055139" w:rsidRPr="00055139" w:rsidRDefault="00055139" w:rsidP="00055139">
            <w:pPr>
              <w:numPr>
                <w:ilvl w:val="0"/>
                <w:numId w:val="1"/>
              </w:numPr>
              <w:tabs>
                <w:tab w:val="left" w:pos="459"/>
              </w:tabs>
              <w:ind w:left="171" w:hanging="182"/>
              <w:contextualSpacing/>
              <w:rPr>
                <w:rFonts w:ascii="Times New Roman" w:eastAsia="Times New Roman" w:hAnsi="Times New Roman"/>
                <w:i/>
              </w:rPr>
            </w:pPr>
            <w:r w:rsidRPr="00055139">
              <w:rPr>
                <w:rFonts w:ascii="Times New Roman" w:eastAsia="Times New Roman" w:hAnsi="Times New Roman"/>
              </w:rPr>
              <w:t>Konferencja, szkolenie, warsztat, spotkanie, festyn, akcja społeczna itp.;</w:t>
            </w:r>
          </w:p>
          <w:p w:rsidR="00055139" w:rsidRPr="00055139" w:rsidRDefault="00055139" w:rsidP="00055139">
            <w:pPr>
              <w:numPr>
                <w:ilvl w:val="0"/>
                <w:numId w:val="1"/>
              </w:numPr>
              <w:tabs>
                <w:tab w:val="left" w:pos="459"/>
              </w:tabs>
              <w:ind w:left="171" w:hanging="182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Wyjazd studyjny;</w:t>
            </w:r>
          </w:p>
          <w:p w:rsidR="00055139" w:rsidRPr="00055139" w:rsidRDefault="00055139" w:rsidP="00055139">
            <w:pPr>
              <w:numPr>
                <w:ilvl w:val="0"/>
                <w:numId w:val="1"/>
              </w:numPr>
              <w:tabs>
                <w:tab w:val="left" w:pos="459"/>
              </w:tabs>
              <w:ind w:left="171" w:hanging="182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Wzmocnienie kapitału społecznego;</w:t>
            </w:r>
          </w:p>
          <w:p w:rsidR="00055139" w:rsidRPr="00055139" w:rsidRDefault="00055139" w:rsidP="00055139">
            <w:pPr>
              <w:numPr>
                <w:ilvl w:val="0"/>
                <w:numId w:val="1"/>
              </w:numPr>
              <w:tabs>
                <w:tab w:val="left" w:pos="459"/>
              </w:tabs>
              <w:ind w:left="171" w:hanging="182"/>
              <w:contextualSpacing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Spotkania branżowe nastawione na budowanie wspólnej marki oraz więzi międzysektorowych;</w:t>
            </w:r>
          </w:p>
          <w:p w:rsidR="00055139" w:rsidRPr="00055139" w:rsidRDefault="00055139" w:rsidP="00055139">
            <w:pPr>
              <w:numPr>
                <w:ilvl w:val="0"/>
                <w:numId w:val="1"/>
              </w:numPr>
              <w:ind w:left="171" w:hanging="182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Promowanie obszaru, produktów, usług lokalnych.</w:t>
            </w:r>
          </w:p>
        </w:tc>
        <w:tc>
          <w:tcPr>
            <w:tcW w:w="2405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LGD, osoby prawne</w:t>
            </w:r>
          </w:p>
        </w:tc>
        <w:tc>
          <w:tcPr>
            <w:tcW w:w="1847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50 000;</w:t>
            </w:r>
          </w:p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do 90%</w:t>
            </w:r>
          </w:p>
        </w:tc>
        <w:tc>
          <w:tcPr>
            <w:tcW w:w="1418" w:type="dxa"/>
            <w:vAlign w:val="center"/>
          </w:tcPr>
          <w:p w:rsidR="00055139" w:rsidRPr="00055139" w:rsidRDefault="00055139" w:rsidP="00C700BA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Operacja własna</w:t>
            </w:r>
          </w:p>
        </w:tc>
        <w:tc>
          <w:tcPr>
            <w:tcW w:w="1843" w:type="dxa"/>
            <w:vAlign w:val="center"/>
          </w:tcPr>
          <w:p w:rsidR="00055139" w:rsidRPr="00055139" w:rsidRDefault="00055139" w:rsidP="00C700BA">
            <w:pPr>
              <w:jc w:val="right"/>
              <w:rPr>
                <w:rFonts w:ascii="Times New Roman" w:eastAsia="Calibri" w:hAnsi="Times New Roman"/>
                <w:i/>
              </w:rPr>
            </w:pPr>
            <w:r w:rsidRPr="00055139">
              <w:rPr>
                <w:rFonts w:ascii="Times New Roman" w:eastAsia="Calibri" w:hAnsi="Times New Roman"/>
              </w:rPr>
              <w:t>50 000</w:t>
            </w:r>
          </w:p>
        </w:tc>
      </w:tr>
    </w:tbl>
    <w:p w:rsidR="00414047" w:rsidRPr="00055139" w:rsidRDefault="00414047">
      <w:pPr>
        <w:rPr>
          <w:rFonts w:ascii="Times New Roman" w:hAnsi="Times New Roman" w:cs="Times New Roman"/>
        </w:rPr>
      </w:pPr>
    </w:p>
    <w:sectPr w:rsidR="00414047" w:rsidRPr="00055139" w:rsidSect="00055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47" w:rsidRDefault="00414047" w:rsidP="00055139">
      <w:pPr>
        <w:spacing w:after="0" w:line="240" w:lineRule="auto"/>
      </w:pPr>
      <w:r>
        <w:separator/>
      </w:r>
    </w:p>
  </w:endnote>
  <w:endnote w:type="continuationSeparator" w:id="1">
    <w:p w:rsidR="00414047" w:rsidRDefault="00414047" w:rsidP="0005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47" w:rsidRDefault="00414047" w:rsidP="00055139">
      <w:pPr>
        <w:spacing w:after="0" w:line="240" w:lineRule="auto"/>
      </w:pPr>
      <w:r>
        <w:separator/>
      </w:r>
    </w:p>
  </w:footnote>
  <w:footnote w:type="continuationSeparator" w:id="1">
    <w:p w:rsidR="00414047" w:rsidRDefault="00414047" w:rsidP="00055139">
      <w:pPr>
        <w:spacing w:after="0" w:line="240" w:lineRule="auto"/>
      </w:pPr>
      <w:r>
        <w:continuationSeparator/>
      </w:r>
    </w:p>
  </w:footnote>
  <w:footnote w:id="2">
    <w:p w:rsidR="00055139" w:rsidRPr="00AC22F0" w:rsidRDefault="00055139" w:rsidP="00055139">
      <w:pPr>
        <w:spacing w:line="240" w:lineRule="auto"/>
        <w:rPr>
          <w:sz w:val="20"/>
          <w:szCs w:val="20"/>
        </w:rPr>
      </w:pPr>
      <w:r w:rsidRPr="00AC22F0">
        <w:rPr>
          <w:rStyle w:val="Odwoanieprzypisudolnego"/>
          <w:sz w:val="20"/>
          <w:szCs w:val="20"/>
        </w:rPr>
        <w:footnoteRef/>
      </w:r>
      <w:r w:rsidRPr="00AC22F0">
        <w:rPr>
          <w:color w:val="000000"/>
          <w:sz w:val="20"/>
          <w:szCs w:val="20"/>
        </w:rPr>
        <w:t xml:space="preserve">Rozporządzenie Ministra Rolnictwa i Rozwoju Wsi z dnia 24 września 2015 r. w sprawie szczegółowych warunków i trybu przyznawania pomocy finansowej w ramach poddziałania </w:t>
      </w:r>
      <w:r w:rsidRPr="00AC22F0">
        <w:rPr>
          <w:sz w:val="20"/>
          <w:szCs w:val="20"/>
        </w:rPr>
        <w:t>„Wsparcie na wdrażanie operacji w ramach strategii rozwoju lokalnego kierowanego przez społeczność” objętego Programem Rozwoju Obszarów Wiejskich na lata 2014–2020 (Dz. U. z 2015 r. poz. 1570).</w:t>
      </w:r>
    </w:p>
  </w:footnote>
  <w:footnote w:id="3">
    <w:p w:rsidR="00055139" w:rsidRPr="00AC22F0" w:rsidRDefault="00055139" w:rsidP="00055139">
      <w:pPr>
        <w:rPr>
          <w:sz w:val="20"/>
          <w:szCs w:val="20"/>
        </w:rPr>
      </w:pPr>
      <w:r w:rsidRPr="00AC22F0">
        <w:rPr>
          <w:rStyle w:val="Odwoanieprzypisudolnego"/>
          <w:sz w:val="20"/>
          <w:szCs w:val="20"/>
        </w:rPr>
        <w:footnoteRef/>
      </w:r>
      <w:r w:rsidRPr="00CA4CDF">
        <w:rPr>
          <w:color w:val="000000"/>
          <w:sz w:val="20"/>
          <w:szCs w:val="20"/>
        </w:rPr>
        <w:t>Jednostki Sektora Finansów Publicznych.</w:t>
      </w:r>
    </w:p>
  </w:footnote>
  <w:footnote w:id="4">
    <w:p w:rsidR="00055139" w:rsidRPr="00AC22F0" w:rsidRDefault="00055139" w:rsidP="00055139">
      <w:pPr>
        <w:pStyle w:val="Tekstprzypisudolnego"/>
        <w:rPr>
          <w:sz w:val="20"/>
        </w:rPr>
      </w:pPr>
      <w:r w:rsidRPr="00AC22F0">
        <w:rPr>
          <w:rStyle w:val="Odwoanieprzypisudolnego"/>
          <w:sz w:val="20"/>
        </w:rPr>
        <w:footnoteRef/>
      </w:r>
      <w:r w:rsidRPr="00AC22F0">
        <w:rPr>
          <w:sz w:val="20"/>
        </w:rPr>
        <w:t xml:space="preserve"> Branże wskazane według sekcji PKD 2007 – Budownictwo (F), Zakwaterowanie i usługi gastronomiczne (I), Działalność związana z kulturą, rozrywką i rekreacją (R).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0BE"/>
    <w:multiLevelType w:val="hybridMultilevel"/>
    <w:tmpl w:val="110E839A"/>
    <w:lvl w:ilvl="0" w:tplc="00000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B0AD4"/>
    <w:multiLevelType w:val="hybridMultilevel"/>
    <w:tmpl w:val="25128308"/>
    <w:lvl w:ilvl="0" w:tplc="00000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139"/>
    <w:rsid w:val="00055139"/>
    <w:rsid w:val="0041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51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51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unhideWhenUsed/>
    <w:rsid w:val="0005513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055139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5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2016-07-10T09:30:00Z</dcterms:created>
  <dcterms:modified xsi:type="dcterms:W3CDTF">2016-07-10T09:30:00Z</dcterms:modified>
</cp:coreProperties>
</file>